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pBdr>
          <w:bottom w:val="single" w:sz="6" w:space="26" w:color="CCCCCC"/>
        </w:pBdr>
        <w:spacing w:lineRule="atLeast" w:line="0" w:before="0" w:after="280"/>
        <w:jc w:val="center"/>
        <w:rPr>
          <w:color w:val="222222"/>
          <w:sz w:val="33"/>
          <w:szCs w:val="33"/>
        </w:rPr>
      </w:pPr>
      <w:r>
        <w:rPr>
          <w:color w:val="222222"/>
          <w:sz w:val="33"/>
          <w:szCs w:val="33"/>
        </w:rPr>
        <w:t>Извещение об осуществлении закупки</w:t>
      </w:r>
    </w:p>
    <w:p>
      <w:pPr>
        <w:pStyle w:val="Normal"/>
        <w:spacing w:lineRule="auto" w:line="240" w:before="280" w:after="280"/>
        <w:jc w:val="center"/>
        <w:rPr>
          <w:rFonts w:cs="Times New Roman"/>
          <w:color w:val="000000"/>
          <w:sz w:val="24"/>
          <w:szCs w:val="24"/>
        </w:rPr>
      </w:pPr>
      <w:r>
        <w:rPr>
          <w:rFonts w:cs="Times New Roman"/>
          <w:b/>
          <w:bCs/>
          <w:color w:val="000000"/>
          <w:sz w:val="24"/>
          <w:szCs w:val="24"/>
        </w:rPr>
        <w:t>1. Информация, формируемая с использованием единой информационной системы</w:t>
      </w:r>
    </w:p>
    <w:tbl>
      <w:tblPr>
        <w:tblW w:w="9750" w:type="dxa"/>
        <w:jc w:val="left"/>
        <w:tblInd w:w="60" w:type="dxa"/>
        <w:tblLayout w:type="fixed"/>
        <w:tblCellMar>
          <w:top w:w="75" w:type="dxa"/>
          <w:left w:w="75" w:type="dxa"/>
          <w:bottom w:w="75" w:type="dxa"/>
          <w:right w:w="75" w:type="dxa"/>
        </w:tblCellMar>
        <w:tblLook w:val="0600"/>
      </w:tblPr>
      <w:tblGrid>
        <w:gridCol w:w="1015"/>
        <w:gridCol w:w="3989"/>
        <w:gridCol w:w="4746"/>
      </w:tblGrid>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tc>
        <w:tc>
          <w:tcPr>
            <w:tcW w:w="4746" w:type="dxa"/>
            <w:tcBorders/>
          </w:tcPr>
          <w:p>
            <w:pPr>
              <w:pStyle w:val="Normal"/>
              <w:widowControl w:val="false"/>
              <w:spacing w:lineRule="auto" w:line="240" w:before="0" w:after="0"/>
              <w:rPr>
                <w:color w:val="000000"/>
              </w:rPr>
            </w:pPr>
            <w:r>
              <w:rPr>
                <w:rFonts w:cs="Times New Roman"/>
                <w:color w:val="000000"/>
                <w:sz w:val="24"/>
                <w:szCs w:val="24"/>
              </w:rPr>
              <w:t>Муниципальное бюджетное  образовательное учреждение дополнительного образования « Центр дополнительного образования детей»  Урупского муниципального района</w:t>
            </w:r>
          </w:p>
          <w:p>
            <w:pPr>
              <w:pStyle w:val="Normal"/>
              <w:widowControl w:val="false"/>
              <w:bidi w:val="0"/>
              <w:spacing w:before="280" w:after="280"/>
              <w:jc w:val="left"/>
              <w:rPr/>
            </w:pPr>
            <w:r>
              <w:rPr>
                <w:rFonts w:cs="Times New Roman"/>
                <w:b w:val="false"/>
                <w:bCs w:val="false"/>
                <w:color w:val="000000"/>
                <w:sz w:val="24"/>
                <w:szCs w:val="24"/>
                <w:lang w:val="ru-RU"/>
              </w:rPr>
              <w:t xml:space="preserve">Место нахождения: </w:t>
            </w:r>
            <w:r>
              <w:rPr>
                <w:rFonts w:cs="Times New Roman"/>
                <w:b w:val="false"/>
                <w:bCs w:val="false"/>
                <w:color w:val="000000"/>
                <w:sz w:val="26"/>
                <w:szCs w:val="26"/>
                <w:lang w:val="ru-RU"/>
              </w:rPr>
              <w:t xml:space="preserve">369260, Карачаево-Черкесская Республика,  Урупский район, ст. Преградная, </w:t>
            </w:r>
            <w:r>
              <w:rPr>
                <w:rFonts w:cs="Times New Roman"/>
                <w:b w:val="false"/>
                <w:bCs w:val="false"/>
                <w:color w:val="000000"/>
                <w:sz w:val="24"/>
                <w:szCs w:val="24"/>
                <w:lang w:val="ru-RU"/>
              </w:rPr>
              <w:t>ул. Красная, 69 «а»</w:t>
            </w:r>
          </w:p>
          <w:p>
            <w:pPr>
              <w:pStyle w:val="Normal"/>
              <w:widowControl w:val="false"/>
              <w:bidi w:val="0"/>
              <w:spacing w:before="280" w:after="280"/>
              <w:jc w:val="left"/>
              <w:rPr/>
            </w:pPr>
            <w:r>
              <w:rPr>
                <w:rFonts w:cs="Times New Roman"/>
                <w:b w:val="false"/>
                <w:bCs w:val="false"/>
                <w:color w:val="000000"/>
                <w:sz w:val="24"/>
                <w:szCs w:val="24"/>
                <w:lang w:val="ru-RU"/>
              </w:rPr>
              <w:t>Почтовый адрес:</w:t>
            </w:r>
            <w:r>
              <w:rPr>
                <w:rFonts w:cs="Times New Roman"/>
                <w:b w:val="false"/>
                <w:bCs w:val="false"/>
                <w:color w:val="000000"/>
                <w:sz w:val="26"/>
                <w:szCs w:val="26"/>
                <w:lang w:val="ru-RU"/>
              </w:rPr>
              <w:t xml:space="preserve">369260, Карачаево-Черкесская Республика,  Урупский район, ст. Преградная, </w:t>
            </w:r>
            <w:r>
              <w:rPr>
                <w:rFonts w:cs="Times New Roman"/>
                <w:b w:val="false"/>
                <w:bCs w:val="false"/>
                <w:color w:val="000000"/>
                <w:sz w:val="24"/>
                <w:szCs w:val="24"/>
                <w:lang w:val="ru-RU"/>
              </w:rPr>
              <w:t>ул. Красная, 69 «а»</w:t>
            </w:r>
          </w:p>
          <w:p>
            <w:pPr>
              <w:pStyle w:val="Normal"/>
              <w:widowControl w:val="false"/>
              <w:bidi w:val="0"/>
              <w:spacing w:before="280" w:after="280"/>
              <w:jc w:val="left"/>
              <w:rPr>
                <w:rFonts w:cs="Times New Roman"/>
                <w:b w:val="false"/>
                <w:bCs w:val="false"/>
                <w:color w:val="000000"/>
                <w:sz w:val="24"/>
                <w:szCs w:val="24"/>
                <w:lang w:val="ru-RU"/>
              </w:rPr>
            </w:pPr>
            <w:r>
              <w:rPr>
                <w:rFonts w:cs="Times New Roman"/>
                <w:b w:val="false"/>
                <w:bCs w:val="false"/>
                <w:color w:val="000000"/>
                <w:sz w:val="24"/>
                <w:szCs w:val="24"/>
                <w:lang w:val="ru-RU"/>
              </w:rPr>
              <w:t>Номер контактного телефона:</w:t>
            </w:r>
          </w:p>
          <w:p>
            <w:pPr>
              <w:pStyle w:val="Normal"/>
              <w:widowControl w:val="false"/>
              <w:bidi w:val="0"/>
              <w:spacing w:before="280" w:after="280"/>
              <w:jc w:val="left"/>
              <w:rPr/>
            </w:pPr>
            <w:r>
              <w:rPr>
                <w:rFonts w:cs="Times New Roman"/>
                <w:b w:val="false"/>
                <w:bCs w:val="false"/>
                <w:color w:val="000000"/>
                <w:sz w:val="26"/>
                <w:szCs w:val="26"/>
                <w:lang w:val="ru-RU"/>
              </w:rPr>
              <w:t xml:space="preserve">тел.: 8(87876) </w:t>
            </w:r>
            <w:r>
              <w:rPr>
                <w:rFonts w:eastAsia="NSimSun" w:cs="Times New Roman"/>
                <w:b w:val="false"/>
                <w:bCs w:val="false"/>
                <w:color w:val="000000"/>
                <w:kern w:val="2"/>
                <w:sz w:val="26"/>
                <w:szCs w:val="26"/>
                <w:lang w:val="ru-RU" w:eastAsia="zh-CN" w:bidi="hi-IN"/>
              </w:rPr>
              <w:t>61926</w:t>
            </w:r>
          </w:p>
          <w:p>
            <w:pPr>
              <w:pStyle w:val="Normal"/>
              <w:widowControl w:val="false"/>
              <w:bidi w:val="0"/>
              <w:spacing w:before="280" w:after="280"/>
              <w:jc w:val="left"/>
              <w:rPr/>
            </w:pPr>
            <w:r>
              <w:rPr>
                <w:rFonts w:cs="Times New Roman"/>
                <w:b w:val="false"/>
                <w:bCs w:val="false"/>
                <w:color w:val="000000"/>
                <w:sz w:val="24"/>
                <w:szCs w:val="24"/>
                <w:lang w:val="ru-RU"/>
              </w:rPr>
              <w:t>Адрес электронной почты: isupov.dir@yandex.ru</w:t>
            </w:r>
          </w:p>
          <w:p>
            <w:pPr>
              <w:pStyle w:val="Normal"/>
              <w:widowControl w:val="false"/>
              <w:bidi w:val="0"/>
              <w:spacing w:before="280" w:after="280"/>
              <w:jc w:val="left"/>
              <w:rPr>
                <w:rFonts w:cs="Times New Roman"/>
                <w:b w:val="false"/>
                <w:bCs w:val="false"/>
                <w:color w:val="000000"/>
                <w:sz w:val="24"/>
                <w:szCs w:val="24"/>
                <w:lang w:val="ru-RU"/>
              </w:rPr>
            </w:pPr>
            <w:r>
              <w:rPr/>
            </w:r>
          </w:p>
          <w:p>
            <w:pPr>
              <w:pStyle w:val="Normal"/>
              <w:widowControl w:val="false"/>
              <w:bidi w:val="0"/>
              <w:spacing w:before="280" w:after="280"/>
              <w:jc w:val="left"/>
              <w:rPr/>
            </w:pPr>
            <w:r>
              <w:rPr>
                <w:rFonts w:eastAsia="NSimSun" w:cs="Times New Roman"/>
                <w:b w:val="false"/>
                <w:bCs w:val="false"/>
                <w:color w:val="000000"/>
                <w:kern w:val="2"/>
                <w:sz w:val="24"/>
                <w:szCs w:val="24"/>
                <w:lang w:val="ru-RU" w:eastAsia="zh-CN" w:bidi="hi-IN"/>
              </w:rPr>
              <w:t>Исупов Сергей Владимирович</w:t>
            </w:r>
            <w:r>
              <w:rPr>
                <w:rFonts w:cs="Times New Roman"/>
                <w:b w:val="false"/>
                <w:bCs w:val="false"/>
                <w:color w:val="000000"/>
                <w:sz w:val="24"/>
                <w:szCs w:val="24"/>
                <w:lang w:val="ru-RU"/>
              </w:rPr>
              <w:t>__</w:t>
            </w:r>
            <w:r>
              <w:rPr>
                <w:rFonts w:cs="Times New Roman"/>
                <w:b/>
                <w:bCs/>
                <w:color w:val="000000"/>
                <w:sz w:val="24"/>
                <w:szCs w:val="24"/>
                <w:lang w:val="ru-RU"/>
              </w:rPr>
              <w:t>_</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Идентификационный код закупки</w:t>
            </w:r>
          </w:p>
        </w:tc>
        <w:tc>
          <w:tcPr>
            <w:tcW w:w="4746" w:type="dxa"/>
            <w:tcBorders/>
          </w:tcPr>
          <w:p>
            <w:pPr>
              <w:pStyle w:val="Normal"/>
              <w:widowControl w:val="false"/>
              <w:spacing w:lineRule="auto" w:line="240" w:before="280" w:after="280"/>
              <w:rPr>
                <w:rFonts w:cs="Times New Roman"/>
                <w:color w:val="000000"/>
                <w:sz w:val="24"/>
                <w:szCs w:val="24"/>
              </w:rPr>
            </w:pPr>
            <w:r>
              <w:rPr>
                <w:rFonts w:cs="Times New Roman"/>
                <w:color w:val="000000"/>
                <w:sz w:val="24"/>
                <w:szCs w:val="24"/>
              </w:rPr>
              <w:t>2330908004024090801001000100</w:t>
            </w:r>
            <w:r>
              <w:rPr>
                <w:rFonts w:cs="Times New Roman"/>
                <w:color w:val="000000"/>
                <w:sz w:val="24"/>
                <w:szCs w:val="24"/>
              </w:rPr>
              <w:t>2</w:t>
            </w:r>
            <w:r>
              <w:rPr>
                <w:rFonts w:cs="Times New Roman"/>
                <w:color w:val="000000"/>
                <w:sz w:val="24"/>
                <w:szCs w:val="24"/>
              </w:rPr>
              <w:t>2910244</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3.</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Указание на соответствующую часть статьи 15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в соответствии с которой осуществляется закупка</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4.</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Указание на осуществление закупки в соответствии с Федеральным законом«О государственном оборонном заказе»</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5.</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Способ определения поставщика (подрядчика, исполнителя)</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Электронный аукцион</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6.</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Адрес в информационно-телекоммуникационной сети «Интернет» электронной площадки</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www.sberbank-ast.ru</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7.</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Наименование объекта закупки</w:t>
            </w:r>
          </w:p>
        </w:tc>
        <w:tc>
          <w:tcPr>
            <w:tcW w:w="4746" w:type="dxa"/>
            <w:tcBorders/>
          </w:tcPr>
          <w:p>
            <w:pPr>
              <w:pStyle w:val="Normal"/>
              <w:widowControl w:val="false"/>
              <w:tabs>
                <w:tab w:val="clear" w:pos="720"/>
                <w:tab w:val="right" w:pos="8022" w:leader="none"/>
              </w:tabs>
              <w:bidi w:val="0"/>
              <w:snapToGrid w:val="false"/>
              <w:spacing w:before="280" w:after="280"/>
              <w:ind w:left="69" w:right="-108" w:hanging="0"/>
              <w:jc w:val="both"/>
              <w:rPr/>
            </w:pPr>
            <w:r>
              <w:rPr>
                <w:rFonts w:eastAsia="Times New Roman" w:cs=""/>
                <w:bCs/>
                <w:color w:val="auto"/>
                <w:kern w:val="0"/>
                <w:sz w:val="26"/>
                <w:szCs w:val="26"/>
                <w:lang w:val="ru-RU" w:eastAsia="en-US" w:bidi="ar-SA"/>
              </w:rPr>
              <w:t xml:space="preserve">Поставка легкового автомобиля УАЗ </w:t>
            </w:r>
            <w:r>
              <w:rPr>
                <w:rFonts w:eastAsia="Times New Roman" w:cs=""/>
                <w:bCs/>
                <w:color w:val="auto"/>
                <w:kern w:val="0"/>
                <w:sz w:val="26"/>
                <w:szCs w:val="26"/>
                <w:lang w:val="en-US" w:eastAsia="en-US" w:bidi="ar-SA"/>
              </w:rPr>
              <w:t xml:space="preserve">Patriot </w:t>
            </w:r>
            <w:r>
              <w:rPr>
                <w:rFonts w:eastAsia="Times New Roman" w:cs=""/>
                <w:bCs/>
                <w:color w:val="auto"/>
                <w:kern w:val="0"/>
                <w:sz w:val="26"/>
                <w:szCs w:val="26"/>
                <w:lang w:val="ru-RU" w:eastAsia="en-US" w:bidi="ar-SA"/>
              </w:rPr>
              <w:t>или  эквивалент</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8.</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(при наличии), предусмотренная правилами использования каталога товаров, работ, услуг для обеспечения государственных и муниципальных нужд</w:t>
            </w:r>
          </w:p>
        </w:tc>
        <w:tc>
          <w:tcPr>
            <w:tcW w:w="4746" w:type="dxa"/>
            <w:tcBorders/>
          </w:tcPr>
          <w:p>
            <w:pPr>
              <w:pStyle w:val="Normal"/>
              <w:widowControl w:val="false"/>
              <w:spacing w:before="280" w:after="280"/>
              <w:rPr>
                <w:sz w:val="24"/>
                <w:szCs w:val="24"/>
                <w:lang w:eastAsia="en-US"/>
              </w:rPr>
            </w:pPr>
            <w:r>
              <w:rPr>
                <w:rFonts w:cs="Times New Roman"/>
                <w:color w:val="000000"/>
                <w:sz w:val="24"/>
                <w:szCs w:val="24"/>
                <w:lang w:eastAsia="en-US"/>
              </w:rPr>
              <w:t>См. Приложение 3</w:t>
            </w:r>
          </w:p>
          <w:p>
            <w:pPr>
              <w:pStyle w:val="Normal"/>
              <w:widowControl w:val="false"/>
              <w:spacing w:lineRule="auto" w:line="240" w:before="280" w:after="0"/>
              <w:rPr>
                <w:rFonts w:cs="Times New Roman"/>
                <w:color w:val="000000"/>
                <w:sz w:val="24"/>
                <w:szCs w:val="24"/>
              </w:rPr>
            </w:pPr>
            <w:r>
              <w:rPr>
                <w:rFonts w:cs="Times New Roman"/>
                <w:color w:val="000000"/>
                <w:sz w:val="24"/>
                <w:szCs w:val="24"/>
              </w:rPr>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9.</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10.</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 количестве, единице измерения и месте поставки товара</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1</w:t>
            </w:r>
            <w:r>
              <w:rPr>
                <w:rFonts w:cs="Times New Roman"/>
                <w:color w:val="000000"/>
                <w:sz w:val="24"/>
                <w:szCs w:val="24"/>
                <w:lang w:val="ru-RU"/>
              </w:rPr>
              <w:t xml:space="preserve"> шт., </w:t>
            </w:r>
            <w:r>
              <w:rPr>
                <w:rFonts w:cs="Times New Roman"/>
                <w:b w:val="false"/>
                <w:bCs w:val="false"/>
                <w:color w:val="000000"/>
                <w:sz w:val="26"/>
                <w:szCs w:val="26"/>
                <w:lang w:val="ru-RU"/>
              </w:rPr>
              <w:t xml:space="preserve">369260, Карачаево-Черкесская Республика,  Урупский район, ст. Преградная, </w:t>
            </w:r>
            <w:r>
              <w:rPr>
                <w:rFonts w:cs="Times New Roman"/>
                <w:b w:val="false"/>
                <w:bCs w:val="false"/>
                <w:color w:val="000000"/>
                <w:sz w:val="24"/>
                <w:szCs w:val="24"/>
                <w:lang w:val="ru-RU"/>
              </w:rPr>
              <w:t>ул. Красная, 69 «а»</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11.</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об объеме, о единице измерения (при наличии) и месте выполнения работы или оказания услуги</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12.</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Срок исполнения контракта (отдельных этапов исполнения контракта)</w:t>
            </w:r>
          </w:p>
        </w:tc>
        <w:tc>
          <w:tcPr>
            <w:tcW w:w="4746" w:type="dxa"/>
            <w:tcBorders/>
          </w:tcPr>
          <w:p>
            <w:pPr>
              <w:pStyle w:val="Normal"/>
              <w:widowControl w:val="false"/>
              <w:bidi w:val="0"/>
              <w:snapToGrid w:val="false"/>
              <w:spacing w:before="280" w:after="0"/>
              <w:jc w:val="both"/>
              <w:rPr/>
            </w:pPr>
            <w:r>
              <w:rPr>
                <w:rFonts w:cs="Times New Roman"/>
                <w:color w:val="000000"/>
                <w:sz w:val="24"/>
                <w:szCs w:val="24"/>
                <w:lang w:val="ru-RU"/>
              </w:rPr>
              <w:t xml:space="preserve">10 (Десять) </w:t>
            </w:r>
            <w:r>
              <w:rPr>
                <w:rFonts w:eastAsia="Times New Roman" w:cs="Times New Roman"/>
                <w:bCs/>
                <w:color w:val="000000"/>
                <w:sz w:val="24"/>
                <w:szCs w:val="24"/>
                <w:shd w:fill="FFFFFF" w:val="clear"/>
                <w:lang w:val="ru-RU" w:eastAsia="ru-RU"/>
              </w:rPr>
              <w:t>рабочих</w:t>
            </w:r>
            <w:r>
              <w:rPr>
                <w:rFonts w:cs="Times New Roman"/>
                <w:color w:val="000000"/>
                <w:sz w:val="24"/>
                <w:szCs w:val="24"/>
                <w:lang w:val="ru-RU"/>
              </w:rPr>
              <w:t xml:space="preserve"> дней </w:t>
            </w:r>
            <w:r>
              <w:rPr>
                <w:rFonts w:eastAsia="NSimSun" w:cs="Arial"/>
                <w:color w:val="000000"/>
                <w:kern w:val="2"/>
                <w:sz w:val="24"/>
                <w:szCs w:val="24"/>
                <w:lang w:val="ru-RU" w:eastAsia="zh-CN" w:bidi="hi-IN"/>
              </w:rPr>
              <w:t>с</w:t>
            </w:r>
            <w:r>
              <w:rPr>
                <w:rFonts w:cs="Times New Roman"/>
                <w:color w:val="000000"/>
                <w:sz w:val="24"/>
                <w:szCs w:val="24"/>
                <w:lang w:val="ru-RU"/>
              </w:rPr>
              <w:t xml:space="preserve"> момента заключения контракта</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13.</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Начальная (максимальная) цена контракта (цена отдельных этапов исполнения контракта, если проектом контракта предусмотрены такие этапы). В случае, предусмотренном частью 24 статьи 22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частью 2 статьи 34 Федерального закона, указываются ориентировочное значение цены контракта либо формула цены и максимальное значение цены контракта</w:t>
            </w:r>
          </w:p>
        </w:tc>
        <w:tc>
          <w:tcPr>
            <w:tcW w:w="4746" w:type="dxa"/>
            <w:tcBorders/>
          </w:tcPr>
          <w:p>
            <w:pPr>
              <w:pStyle w:val="Normal"/>
              <w:widowControl w:val="false"/>
              <w:spacing w:lineRule="auto" w:line="240" w:before="0" w:after="280"/>
              <w:rPr>
                <w:rFonts w:cs="Times New Roman"/>
                <w:color w:val="000000"/>
                <w:sz w:val="24"/>
                <w:szCs w:val="24"/>
              </w:rPr>
            </w:pPr>
            <w:r>
              <w:rPr>
                <w:rFonts w:cs="Times New Roman"/>
                <w:color w:val="000000"/>
                <w:sz w:val="24"/>
                <w:szCs w:val="24"/>
              </w:rPr>
              <w:t>1980000,00 (</w:t>
            </w:r>
            <w:r>
              <w:rPr>
                <w:rFonts w:cs="Times New Roman"/>
                <w:color w:val="000000"/>
                <w:sz w:val="24"/>
                <w:szCs w:val="24"/>
                <w:lang w:val="ru-RU"/>
              </w:rPr>
              <w:t>один миллион девятьсот восемьдесят тысяч</w:t>
            </w:r>
            <w:r>
              <w:rPr>
                <w:rFonts w:cs="Times New Roman"/>
                <w:color w:val="000000"/>
                <w:sz w:val="24"/>
                <w:szCs w:val="24"/>
              </w:rPr>
              <w:t xml:space="preserve">) </w:t>
            </w:r>
            <w:r>
              <w:rPr>
                <w:rFonts w:cs="Times New Roman"/>
                <w:color w:val="000000"/>
                <w:sz w:val="24"/>
                <w:szCs w:val="24"/>
                <w:lang w:val="ru-RU"/>
              </w:rPr>
              <w:t>рублей</w:t>
            </w:r>
          </w:p>
          <w:p>
            <w:pPr>
              <w:pStyle w:val="Normal"/>
              <w:widowControl w:val="false"/>
              <w:spacing w:lineRule="auto" w:line="240" w:before="280" w:after="0"/>
              <w:rPr>
                <w:rFonts w:cs="Times New Roman"/>
                <w:color w:val="000000"/>
                <w:sz w:val="24"/>
                <w:szCs w:val="24"/>
              </w:rPr>
            </w:pPr>
            <w:r>
              <w:rPr>
                <w:rFonts w:cs="Times New Roman"/>
                <w:color w:val="000000"/>
                <w:sz w:val="24"/>
                <w:szCs w:val="24"/>
              </w:rPr>
              <w:t>Цена контракта включает в себя: все затраты, накладные расходы, налоги, пошлины, таможенные платежи, страхование и прочие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РФ</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14.</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Источник финансирования</w:t>
            </w:r>
          </w:p>
        </w:tc>
        <w:tc>
          <w:tcPr>
            <w:tcW w:w="4746" w:type="dxa"/>
            <w:tcBorders/>
          </w:tcPr>
          <w:p>
            <w:pPr>
              <w:pStyle w:val="Normal"/>
              <w:widowControl w:val="false"/>
              <w:bidi w:val="0"/>
              <w:spacing w:before="0" w:after="0"/>
              <w:jc w:val="both"/>
              <w:rPr>
                <w:rFonts w:cs="Times New Roman"/>
                <w:color w:val="000000"/>
                <w:sz w:val="26"/>
                <w:szCs w:val="26"/>
                <w:lang w:val="ru-RU"/>
              </w:rPr>
            </w:pPr>
            <w:r>
              <w:rPr>
                <w:rFonts w:cs="Times New Roman"/>
                <w:color w:val="000000"/>
                <w:sz w:val="24"/>
                <w:szCs w:val="24"/>
                <w:lang w:val="ru-RU"/>
              </w:rPr>
              <w:t>бюджет Урупского муниципального района</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15.</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Наименование валюты в соответствии с общероссийским классификатором валют</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Российский рубль</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16.</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Размер аванса</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17.</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Критерии оценки заявок на участие в конкурсах, величины значимости критериев</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18.</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Требования, предъявляемые к участникам закупки в соответствии частью 1 статьи 31 Федерального закона</w:t>
            </w:r>
          </w:p>
        </w:tc>
        <w:tc>
          <w:tcPr>
            <w:tcW w:w="4746" w:type="dxa"/>
            <w:tcBorders/>
          </w:tcPr>
          <w:p>
            <w:pPr>
              <w:pStyle w:val="Normal"/>
              <w:widowControl w:val="false"/>
              <w:spacing w:lineRule="auto" w:line="240" w:before="0" w:after="280"/>
              <w:rPr>
                <w:rFonts w:cs="Times New Roman"/>
                <w:color w:val="000000"/>
                <w:sz w:val="24"/>
                <w:szCs w:val="24"/>
              </w:rPr>
            </w:pPr>
            <w:r>
              <w:rPr>
                <w:rFonts w:cs="Times New Roman"/>
                <w:color w:val="000000"/>
                <w:sz w:val="24"/>
                <w:szCs w:val="24"/>
              </w:rPr>
              <w:t>Участник закупки должен соответствовать требованиям:</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1) соответствие требованиям, установленным в соответствии с законодательством РФ к лицам, осуществляющим поставку товара, выполнение работы, оказание услуги, которые являются объектом закупки, — не установлено;</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3) неприостановление деятельности участника закупки в порядке, установленном Кодексом об административных правонарушениях;</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4) отсутствие у участника закупки недоимки по налогам, сборам, задолженности по иным обязательным платежам в бюджеты бюджетной системы РФ (за исключением сумм, на которые предоставлены отсрочка, рассрочка, инвестиционный налоговый кредит в соответствии с законодательством РФ о налогах и сборах, которые реструктурированы в соответствии с законодательством РФ,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РФ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6) непривлечение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 не установлено;</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а) физическим лицом (в том числе зарегистрированным в качестве индивидуального предпринимателя), являющимся участником закупки;</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(складочном) капитале хозяйственного товарищества или общества;</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10) отсутствие у участника закупки ограничений для участия в закупках, установленных законодательством РФ;</w:t>
            </w:r>
          </w:p>
          <w:p>
            <w:pPr>
              <w:pStyle w:val="Normal"/>
              <w:widowControl w:val="false"/>
              <w:spacing w:lineRule="auto" w:line="240" w:before="280" w:after="0"/>
              <w:rPr>
                <w:rFonts w:cs="Times New Roman"/>
                <w:color w:val="000000"/>
                <w:sz w:val="24"/>
                <w:szCs w:val="24"/>
              </w:rPr>
            </w:pPr>
            <w:r>
              <w:rPr>
                <w:rFonts w:cs="Times New Roman"/>
                <w:color w:val="000000"/>
                <w:sz w:val="24"/>
                <w:szCs w:val="24"/>
              </w:rPr>
              <w:t>10.1) участник закупки не является иностранным агентом</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19.</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Требования, предъявляемые к участникам закупки в соответствии с частью 2 статьи 31 Федерального закона, и исчерпывающий перечень документов, подтверждающих соответствие участника закупки таким требованиям</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Не установлены</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20.</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Требования, предъявляемые к участникам закупки в соответствии с частью 2.1 статьи 31 Федерального закона, и исчерпывающий перечень документов, подтверждающих соответствие участника закупки таким требованиям</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Не установлены</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21.</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Требование, предъявляемое к участникам закупки в соответствии с частью 1.1 статьи 31 Федерального закона</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Отсутствие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о контрактной системе, если Правительством Российской Федерации не установлено иное</w:t>
            </w:r>
          </w:p>
        </w:tc>
      </w:tr>
      <w:tr>
        <w:trPr/>
        <w:tc>
          <w:tcPr>
            <w:tcW w:w="1015" w:type="dxa"/>
            <w:tcBorders/>
          </w:tcPr>
          <w:p>
            <w:pPr>
              <w:pStyle w:val="Normal"/>
              <w:widowControl w:val="false"/>
              <w:spacing w:before="0" w:after="0"/>
              <w:rPr/>
            </w:pPr>
            <w:r>
              <w:rPr>
                <w:rFonts w:cs="Times New Roman"/>
                <w:color w:val="000000"/>
                <w:sz w:val="24"/>
                <w:szCs w:val="24"/>
              </w:rPr>
              <w:t>21.1</w:t>
            </w:r>
          </w:p>
        </w:tc>
        <w:tc>
          <w:tcPr>
            <w:tcW w:w="3989" w:type="dxa"/>
            <w:tcBorders/>
          </w:tcPr>
          <w:p>
            <w:pPr>
              <w:pStyle w:val="Normal"/>
              <w:widowControl w:val="false"/>
              <w:spacing w:before="0" w:after="0"/>
              <w:rPr/>
            </w:pPr>
            <w:r>
              <w:rPr>
                <w:rFonts w:cs="Times New Roman"/>
                <w:color w:val="000000"/>
                <w:sz w:val="24"/>
                <w:szCs w:val="24"/>
              </w:rPr>
              <w:t>Требование, предъявляемое к участникам закупки в соответствии с подп. «б» п. 1 постановления Правительства от 29.12.2021 г. № 2571</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Отсутствие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о контрактной системе,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w:t>
            </w:r>
          </w:p>
        </w:tc>
      </w:tr>
      <w:tr>
        <w:trPr/>
        <w:tc>
          <w:tcPr>
            <w:tcW w:w="1015" w:type="dxa"/>
            <w:tcBorders/>
          </w:tcPr>
          <w:p>
            <w:pPr>
              <w:pStyle w:val="Normal"/>
              <w:widowControl w:val="false"/>
              <w:spacing w:before="0" w:after="0"/>
              <w:rPr/>
            </w:pPr>
            <w:r>
              <w:rPr>
                <w:rFonts w:cs="Times New Roman"/>
                <w:color w:val="000000"/>
                <w:sz w:val="24"/>
                <w:szCs w:val="24"/>
              </w:rPr>
              <w:t>21.2</w:t>
            </w:r>
          </w:p>
        </w:tc>
        <w:tc>
          <w:tcPr>
            <w:tcW w:w="3989" w:type="dxa"/>
            <w:tcBorders/>
          </w:tcPr>
          <w:p>
            <w:pPr>
              <w:pStyle w:val="Normal"/>
              <w:widowControl w:val="false"/>
              <w:spacing w:before="0" w:after="0"/>
              <w:rPr/>
            </w:pPr>
            <w:r>
              <w:rPr>
                <w:rFonts w:cs="Times New Roman"/>
                <w:color w:val="000000"/>
                <w:sz w:val="24"/>
                <w:szCs w:val="24"/>
              </w:rPr>
              <w:t>Требования, предъявляемое к участникам закупки в соответствии с Указом Президента РФ от 03.05.2022 № 252</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 контролем таких лиц».</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22.</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 предоставлении преимущества в соответствии со статьями 28 и 29 Федерального закона</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23.</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 преимуществах в соответствии с частью 3 статьи 30 Федерального закона</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Участниками закупки могут быть только субъекты малого предпринимательства, социально ориентированные некоммерческие организации. Участники закупки должны соответствовать требованиям, установленным Федеральным закономот 24.07.2007 № 209-ФЗ «О развитии малого и среднего предпринимательства в Российской Федерации», Федеральным закономот 12.01.1996 № 7-ФЗ «О некоммерческих организациях»</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24.</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Требование, установленное в соответствии с частью 5 статьи 30 Федерального закона, с указанием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25.</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Установлен запрет на допуск товаров, работ, услуг согласно постановлению Правительства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в соответствии с требованиями, установленными статьей 14 Закона № 44-ФЗ</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26.</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Размер и порядок внесения денежных средств в качестве обеспечения заявки на участие в закупке, условия независимой гарантии</w:t>
            </w:r>
          </w:p>
        </w:tc>
        <w:tc>
          <w:tcPr>
            <w:tcW w:w="4746" w:type="dxa"/>
            <w:tcBorders/>
          </w:tcPr>
          <w:p>
            <w:pPr>
              <w:pStyle w:val="Normal"/>
              <w:widowControl w:val="false"/>
              <w:spacing w:lineRule="auto" w:line="240" w:before="0" w:after="280"/>
              <w:rPr>
                <w:rFonts w:cs="Times New Roman"/>
                <w:color w:val="000000"/>
                <w:sz w:val="24"/>
                <w:szCs w:val="24"/>
              </w:rPr>
            </w:pPr>
            <w:r>
              <w:rPr>
                <w:rFonts w:cs="Times New Roman"/>
                <w:color w:val="000000"/>
                <w:sz w:val="24"/>
                <w:szCs w:val="24"/>
              </w:rPr>
              <w:t>Размер обеспечения заявки на участие в аукционе установлен в размере 1 процента от начальной (максимальной) цены контракта.</w:t>
            </w:r>
          </w:p>
          <w:p>
            <w:pPr>
              <w:pStyle w:val="Normal"/>
              <w:widowControl w:val="false"/>
              <w:spacing w:lineRule="auto" w:line="240" w:before="280" w:after="280"/>
              <w:rPr>
                <w:color w:val="000000"/>
              </w:rPr>
            </w:pPr>
            <w:r>
              <w:rPr>
                <w:rFonts w:cs="Times New Roman"/>
                <w:color w:val="000000"/>
                <w:sz w:val="24"/>
                <w:szCs w:val="24"/>
              </w:rPr>
              <w:t>Порядок внесения:</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
              </w:rPr>
              <w:t>Порядок внесения денежных средств в качестве обеспечения заявки на участие в закупке:</w:t>
            </w:r>
            <w:r>
              <w:rPr>
                <w:rFonts w:cs="Times New Roman"/>
                <w:bCs/>
              </w:rPr>
              <w:t xml:space="preserve"> согласно статье 44 Федерального закона №44-ФЗ.</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Предприятия уголовно-исполнительной системы, организации инвалидов, предусмотренные частью 2 статьи 29 Федерального закона №44-ФЗ, предоставляют обеспечение заявки на участие в закупке в размере одной второй процента начальной (максимальной) цены контракта. Государственные, муниципальные учреждения не предоставляют обеспечение подаваемых ими заявок на участие в закупках.</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Обеспечение заявки на участие в закупке может предоставляться участником закупки в виде денежных средств или независимой гарантии, предусмотренной статьей 45 Федерального закона №44-ФЗ.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При проведении электронных процедур:</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1) обеспечение заявки на участие в закупке предоставляется одним из следующих способов:</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а) путем блокирования денежных средств на банковском счете, открытом таким участником в банке, включенном в перечень, утвержденный Правительством Российской Федерации (далее - специальный счет), для их перевода в случаях, предусмотренных настоящей статьей,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 Требования к таким банкам,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б) путем предоставления независимой гарантии, соответствующей требованиям статьи 45 Федерального закона №44-ФЗ;</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2) участник закупки для подачи заявки на участие в закупке выбирает с использованием электронной площадки способ обеспечения такой заявки путем указания реквизитов специального счета или указания номера реестровой записи из реестра независимых гарантий, размещенного в единой информационной системе;</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3) в случае предоставления обеспечения заявки на участие в закупке в виде денежных средств:</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а) подача заявки на участие в закупке означает согласие участника закупки на блокирование денежных средств, находящихся на его специальном счете, в размере обеспечения заявки на участие в закупке;</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б) оператор электронной площадки не позднее десяти минут с момента получения заявки на участие в закупке, поданной до окончания срока подачи заявок на участие в закупке, направляет в банк, в котором открыт специальный счет, информацию о реквизитах такого счета и размере денежных средств, необходимом для обеспечения заявки на участие в закупке;</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в) банк не позднее сорока минут с момента получения информации, предусмотренной подпунктом "б" настоящего пункта, осуществляет блокирование денежных средств на специальном счете в размере обеспечения заявки на участие в закупке и направляет информацию об осуществленном блокировании оператору электронной площадки.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информацию об отсутствии на специальном счете денежных средств в размере, необходимом для обеспечения заявки;</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г) в случае получения от банка информации об отсутствии на специальном счете денежных средств в размере, необходимом для обеспечения заявки на участие в закупке, оператор электронной площадки осуществляет в соответствии с подпунктом "е" пункта 5 части 6 статьи 43 Федерального закона №44-ФЗ возврат заявки подавшему ее участнику закупки;</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4) в случае предоставления обеспечения заявки на участие в закупке в виде независимой гарантии оператор электронной площадки посредством взаимодействия с реестром независимых гарантий, размещенным в единой информационной системе, не позднее одного часа с момента получения заявки на участие в закупке проверяет наличие номера реестровой записи в таком реестре, сумму независимой гарантии, а также соответствие идентификационного кода закупки, указанного в независимой гарантии, идентификационному коду закупки, указанному в извещении об осуществлении закупки. Оператор электронной площадки возвращает заявку подавшему ее участнику закупки в соответствии с подпунктом "ж" пункта 5 части 6 статьи 43 Федерального закона №44-ФЗ.</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
              </w:rPr>
            </w:pPr>
            <w:r>
              <w:rPr>
                <w:rFonts w:cs="Times New Roman"/>
                <w:b/>
              </w:rPr>
              <w:t>Условия независимой гарантии:</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Заказчики в качестве обеспечения заявок принимают независимые гарантии, выданные:</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1) банками, соответствующими требованиям, установленным Правительством Российской Федерации, и включенными в перечень, предусмотренный частью 1.2 статьи 45 Федерального закона №44-ФЗ;</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2) государственной корпорацией развития "ВЭБ.РФ";</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3)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Независимая гарантия должна быть безотзывной и должна содержать:</w:t>
            </w:r>
          </w:p>
          <w:p>
            <w:pPr>
              <w:pStyle w:val="Style18"/>
              <w:widowControl w:val="false"/>
              <w:numPr>
                <w:ilvl w:val="0"/>
                <w:numId w:val="1"/>
              </w:numPr>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 xml:space="preserve"> </w:t>
            </w:r>
            <w:r>
              <w:rPr>
                <w:rFonts w:cs="Times New Roman"/>
                <w:bCs/>
              </w:rPr>
              <w:t>сумму независимой гарантии, подлежащую уплате гарантом заказчику в установленных статьей 44 Федерального закона №44-ФЗ случаях для предъявления требования об уплате денежной суммы по независимой гарантии, предоставленной для обеспечения заявки на участие в закупке, а также идентификационный код закупки, при осуществлении которой предоставляется такая независимая гарантия;</w:t>
            </w:r>
          </w:p>
          <w:p>
            <w:pPr>
              <w:pStyle w:val="Style18"/>
              <w:widowControl w:val="false"/>
              <w:numPr>
                <w:ilvl w:val="0"/>
                <w:numId w:val="1"/>
              </w:numPr>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 xml:space="preserve"> </w:t>
            </w:r>
            <w:r>
              <w:rPr>
                <w:rFonts w:cs="Times New Roman"/>
                <w:bCs/>
              </w:rPr>
              <w:t>обязательства принципала, надлежащее исполнение которых обеспечивается независимой гарантией;</w:t>
            </w:r>
          </w:p>
          <w:p>
            <w:pPr>
              <w:pStyle w:val="Style18"/>
              <w:widowControl w:val="false"/>
              <w:numPr>
                <w:ilvl w:val="0"/>
                <w:numId w:val="1"/>
              </w:numPr>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 xml:space="preserve"> </w:t>
            </w:r>
            <w:r>
              <w:rPr>
                <w:rFonts w:cs="Times New Roman"/>
                <w:bCs/>
              </w:rPr>
              <w:t>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pPr>
              <w:pStyle w:val="Style18"/>
              <w:widowControl w:val="false"/>
              <w:numPr>
                <w:ilvl w:val="0"/>
                <w:numId w:val="1"/>
              </w:numPr>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 xml:space="preserve"> </w:t>
            </w:r>
            <w:r>
              <w:rPr>
                <w:rFonts w:cs="Times New Roman"/>
                <w:bCs/>
              </w:rPr>
              <w:t>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18"/>
              <w:widowControl w:val="false"/>
              <w:numPr>
                <w:ilvl w:val="0"/>
                <w:numId w:val="1"/>
              </w:numPr>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 xml:space="preserve"> </w:t>
            </w:r>
            <w:r>
              <w:rPr>
                <w:rFonts w:cs="Times New Roman"/>
                <w:bCs/>
              </w:rPr>
              <w:t>срок действия независимой гарантии с учетом требований статьи 44 Федерального закона №44-ФЗ;</w:t>
            </w:r>
          </w:p>
          <w:p>
            <w:pPr>
              <w:pStyle w:val="Style18"/>
              <w:widowControl w:val="false"/>
              <w:numPr>
                <w:ilvl w:val="0"/>
                <w:numId w:val="1"/>
              </w:numPr>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 xml:space="preserve"> </w:t>
            </w:r>
            <w:r>
              <w:rPr>
                <w:rFonts w:cs="Times New Roman"/>
                <w:bCs/>
              </w:rPr>
              <w:t>установленный Правительством Российской Федерации перечень документов, предоставляемых заказчиком гаранту одновременно с требованием об осуществлении уплаты денежной суммы по независимой гарантии.</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 Независимая гарантия должна содержать условие о рассмотрении споров, вытекающих из независимой гарантии, Арбитражным судом по месту нахождения бенефициара</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Независимая гарантия должна соответствовать требованиям Постановления Правительства РФ от 08.11.2013 N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Основанием для отказа в принятии независимой гарантии заказчиком является:</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1) отсутствие информации о независимой гарантии в предусмотренных статьей 45 Федерального закона №44-ФЗ реестрах независимых гарантий;</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2) несоответствие независимой гарантии требованиям, предусмотренным частями 2, 3 и 8.2 статьи 45 Федерального закона №44-ФЗ;</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rPr>
              <w:t>3) несоответствие независимой гарантии требованиям, содержащимся в извещении об осуществлении закупки.</w:t>
            </w:r>
          </w:p>
          <w:p>
            <w:pPr>
              <w:pStyle w:val="Style18"/>
              <w:widowControl w:val="false"/>
              <w:tabs>
                <w:tab w:val="clear" w:pos="720"/>
                <w:tab w:val="left" w:pos="0" w:leader="none"/>
                <w:tab w:val="left" w:pos="206" w:leader="none"/>
              </w:tabs>
              <w:spacing w:before="0" w:after="0"/>
              <w:ind w:left="0" w:hanging="0"/>
              <w:jc w:val="both"/>
              <w:rPr>
                <w:rFonts w:ascii="Times New Roman" w:hAnsi="Times New Roman" w:cs="Times New Roman"/>
                <w:bCs/>
              </w:rPr>
            </w:pPr>
            <w:r>
              <w:rPr>
                <w:rFonts w:cs="Times New Roman"/>
                <w:bCs/>
                <w:color w:val="000000"/>
                <w:sz w:val="24"/>
                <w:szCs w:val="24"/>
              </w:rPr>
              <w:t>Независимая гарантия, информация о ней и документы, предусмотренные частью 9 статьи 45 Федерального закона №44-ФЗ, должны быть включены в реестр независимых гарантий, размещенный в единой информационной системе.</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27.</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Реквизиты счета, на котором в соответствии с законодательством Российской Федерации учитываются операции со средствами, поступающими заказчику</w:t>
            </w:r>
          </w:p>
        </w:tc>
        <w:tc>
          <w:tcPr>
            <w:tcW w:w="4746" w:type="dxa"/>
            <w:tcBorders/>
          </w:tcPr>
          <w:p>
            <w:pPr>
              <w:pStyle w:val="Normal"/>
              <w:widowControl w:val="false"/>
              <w:spacing w:lineRule="auto" w:line="240" w:before="280" w:after="280"/>
              <w:rPr>
                <w:rFonts w:cs="Times New Roman"/>
                <w:color w:val="000000"/>
                <w:sz w:val="24"/>
                <w:szCs w:val="24"/>
              </w:rPr>
            </w:pPr>
            <w:r>
              <w:rPr>
                <w:rFonts w:cs="Times New Roman"/>
              </w:rPr>
              <w:t>ИНН 0908004024</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КПП 090801001</w:t>
            </w:r>
            <w:r>
              <w:rPr/>
              <w:br/>
            </w:r>
            <w:r>
              <w:rPr>
                <w:rFonts w:cs="Times New Roman"/>
              </w:rPr>
              <w:t>Р/С 03234643916300007900</w:t>
            </w:r>
          </w:p>
          <w:p>
            <w:pPr>
              <w:pStyle w:val="Normal"/>
              <w:widowControl w:val="false"/>
              <w:spacing w:lineRule="auto" w:line="240" w:before="0" w:after="0"/>
              <w:rPr>
                <w:rFonts w:ascii="Times New Roman" w:hAnsi="Times New Roman" w:cs="Times New Roman"/>
              </w:rPr>
            </w:pPr>
            <w:r>
              <w:rPr>
                <w:rFonts w:cs="Times New Roman"/>
              </w:rPr>
              <w:t>К/С 40102810245370000078</w:t>
            </w:r>
          </w:p>
          <w:p>
            <w:pPr>
              <w:pStyle w:val="Normal"/>
              <w:widowControl w:val="false"/>
              <w:spacing w:lineRule="auto" w:line="240" w:before="0" w:after="0"/>
              <w:rPr>
                <w:rFonts w:ascii="Times New Roman" w:hAnsi="Times New Roman" w:cs="Times New Roman"/>
              </w:rPr>
            </w:pPr>
            <w:r>
              <w:rPr>
                <w:rFonts w:cs="Times New Roman"/>
              </w:rPr>
              <w:t>Л/С 20796039610</w:t>
            </w:r>
          </w:p>
          <w:p>
            <w:pPr>
              <w:pStyle w:val="Normal"/>
              <w:widowControl w:val="false"/>
              <w:spacing w:lineRule="auto" w:line="240" w:before="0" w:after="0"/>
              <w:rPr>
                <w:rFonts w:ascii="Times New Roman" w:hAnsi="Times New Roman" w:cs="Times New Roman"/>
              </w:rPr>
            </w:pPr>
            <w:r>
              <w:rPr>
                <w:rFonts w:cs="Times New Roman"/>
              </w:rPr>
              <w:t>ОТДЕЛЕНИЕ-НБ КАРАЧАЕВО-ЧЕРКЕССКАЯ РЕСПУБЛИКА БАНКА РОССИИ // УФК по Карачаево-Черкесской Республике, г.Черкесск</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 xml:space="preserve">БИК  </w:t>
            </w:r>
            <w:bookmarkStart w:id="0" w:name="_GoBack_Copy_1_Copy_1"/>
            <w:bookmarkEnd w:id="0"/>
            <w:r>
              <w:rPr>
                <w:rFonts w:cs="Times New Roman"/>
                <w:color w:val="000000"/>
                <w:sz w:val="24"/>
                <w:szCs w:val="24"/>
              </w:rPr>
              <w:t>019133001</w:t>
            </w:r>
          </w:p>
        </w:tc>
      </w:tr>
      <w:tr>
        <w:trPr/>
        <w:tc>
          <w:tcPr>
            <w:tcW w:w="1015" w:type="dxa"/>
            <w:tcBorders/>
          </w:tcPr>
          <w:p>
            <w:pPr>
              <w:pStyle w:val="Normal"/>
              <w:widowControl w:val="false"/>
              <w:spacing w:before="0" w:after="0"/>
              <w:rPr/>
            </w:pPr>
            <w:r>
              <w:rPr>
                <w:rFonts w:cs="Times New Roman"/>
                <w:color w:val="000000"/>
                <w:sz w:val="24"/>
                <w:szCs w:val="24"/>
              </w:rPr>
              <w:t>27.1</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Реквизиты счета для перечисления денежных средств в случае, предусмотренном частью 13 статьи 44 Закона № 44-ФЗ</w:t>
            </w:r>
          </w:p>
        </w:tc>
        <w:tc>
          <w:tcPr>
            <w:tcW w:w="4746" w:type="dxa"/>
            <w:tcBorders/>
          </w:tcPr>
          <w:p>
            <w:pPr>
              <w:pStyle w:val="Normal"/>
              <w:widowControl w:val="false"/>
              <w:spacing w:lineRule="auto" w:line="240" w:before="0" w:after="280"/>
              <w:rPr>
                <w:color w:val="000000"/>
              </w:rPr>
            </w:pPr>
            <w:r>
              <w:rPr>
                <w:rFonts w:cs="Times New Roman"/>
                <w:b/>
                <w:bCs/>
                <w:color w:val="000000"/>
                <w:sz w:val="24"/>
                <w:szCs w:val="24"/>
              </w:rPr>
              <w:t>Наименование заказчика:</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Получатель: Муниципальное бюджетное  образовательное учреждение дополнительного образования « Центр дополнительного образования детей»  Урупского муниципального района</w:t>
            </w:r>
          </w:p>
          <w:p>
            <w:pPr>
              <w:pStyle w:val="Normal"/>
              <w:widowControl w:val="false"/>
              <w:spacing w:lineRule="auto" w:line="240" w:before="280" w:after="280"/>
              <w:rPr>
                <w:rFonts w:cs="Times New Roman"/>
                <w:color w:val="000000"/>
                <w:sz w:val="24"/>
                <w:szCs w:val="24"/>
              </w:rPr>
            </w:pPr>
            <w:r>
              <w:rPr>
                <w:rFonts w:cs="Times New Roman"/>
              </w:rPr>
              <w:t>ИНН 0908004024</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КПП 090801001</w:t>
            </w:r>
            <w:r>
              <w:rPr/>
              <w:br/>
            </w:r>
            <w:r>
              <w:rPr>
                <w:rFonts w:cs="Times New Roman"/>
              </w:rPr>
              <w:t>Р/С 03234643916300007900</w:t>
            </w:r>
          </w:p>
          <w:p>
            <w:pPr>
              <w:pStyle w:val="Normal"/>
              <w:widowControl w:val="false"/>
              <w:spacing w:lineRule="auto" w:line="240" w:before="0" w:after="0"/>
              <w:rPr>
                <w:rFonts w:ascii="Times New Roman" w:hAnsi="Times New Roman" w:cs="Times New Roman"/>
              </w:rPr>
            </w:pPr>
            <w:r>
              <w:rPr>
                <w:rFonts w:cs="Times New Roman"/>
              </w:rPr>
              <w:t>К/С 40102810245370000078</w:t>
            </w:r>
          </w:p>
          <w:p>
            <w:pPr>
              <w:pStyle w:val="Normal"/>
              <w:widowControl w:val="false"/>
              <w:spacing w:lineRule="auto" w:line="240" w:before="0" w:after="0"/>
              <w:rPr>
                <w:rFonts w:ascii="Times New Roman" w:hAnsi="Times New Roman" w:cs="Times New Roman"/>
              </w:rPr>
            </w:pPr>
            <w:r>
              <w:rPr>
                <w:rFonts w:cs="Times New Roman"/>
              </w:rPr>
              <w:t>Л/С 20796039610</w:t>
            </w:r>
          </w:p>
          <w:p>
            <w:pPr>
              <w:pStyle w:val="Normal"/>
              <w:widowControl w:val="false"/>
              <w:spacing w:lineRule="auto" w:line="240" w:before="0" w:after="0"/>
              <w:rPr>
                <w:rFonts w:ascii="Times New Roman" w:hAnsi="Times New Roman" w:cs="Times New Roman"/>
              </w:rPr>
            </w:pPr>
            <w:r>
              <w:rPr>
                <w:rFonts w:cs="Times New Roman"/>
              </w:rPr>
              <w:t>ОТДЕЛЕНИЕ-НБ КАРАЧАЕВО-ЧЕРКЕССКАЯ РЕСПУБЛИКА БАНКА РОССИИ // УФК по Карачаево-Черкесской Республике, г.Черкесск</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 xml:space="preserve">БИК  </w:t>
            </w:r>
            <w:bookmarkStart w:id="1" w:name="_GoBack_Copy_1"/>
            <w:bookmarkEnd w:id="1"/>
            <w:r>
              <w:rPr>
                <w:rFonts w:cs="Times New Roman"/>
                <w:color w:val="000000"/>
                <w:sz w:val="24"/>
                <w:szCs w:val="24"/>
              </w:rPr>
              <w:t>019133001</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28.</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Размер обеспечения исполнения контракта, гарантийных обязательств, порядок предоставления такого обеспечения, требования к такому обеспечению</w:t>
            </w:r>
          </w:p>
        </w:tc>
        <w:tc>
          <w:tcPr>
            <w:tcW w:w="4746" w:type="dxa"/>
            <w:tcBorders/>
          </w:tcPr>
          <w:p>
            <w:pPr>
              <w:pStyle w:val="Normal"/>
              <w:widowControl w:val="false"/>
              <w:spacing w:lineRule="auto" w:line="240" w:before="0" w:after="280"/>
              <w:rPr>
                <w:color w:val="000000"/>
              </w:rPr>
            </w:pPr>
            <w:r>
              <w:rPr>
                <w:rFonts w:cs="Times New Roman"/>
                <w:color w:val="000000"/>
                <w:sz w:val="24"/>
                <w:szCs w:val="24"/>
              </w:rPr>
              <w:t>5 процентов от цены контракта.</w:t>
            </w:r>
          </w:p>
          <w:p>
            <w:pPr>
              <w:pStyle w:val="Normal"/>
              <w:widowControl w:val="false"/>
              <w:spacing w:lineRule="auto" w:line="240" w:before="280" w:after="280"/>
              <w:rPr>
                <w:color w:val="000000"/>
              </w:rPr>
            </w:pPr>
            <w:r>
              <w:rPr>
                <w:rFonts w:cs="Times New Roman"/>
                <w:color w:val="000000"/>
                <w:sz w:val="24"/>
                <w:szCs w:val="24"/>
              </w:rPr>
              <w:t>Если участник закупки, с которым заключается контракт, предложил цену контракта, которая на 25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части 1 статьи 37 Закона № 44-ФЗ, или информации, подтверждающей добросовестность такого участника в соответствии с частью 3 статьи 37 Закона № 44-ФЗ,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Гарантийные обязательства не установлены.</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Порядок предоставления:</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Участник закупки, с которым заключается контракт, может предоставить обеспечение исполнения контракта, гарантийных обязательств любым из двух способов:</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1) внесение денежных средств на счет заказчика.</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Получатель: Муниципальное бюджетное  образовательное учреждение дополнительного образования « Центр дополнительного образования детей»  Урупского муниципального района</w:t>
            </w:r>
          </w:p>
          <w:p>
            <w:pPr>
              <w:pStyle w:val="Normal"/>
              <w:widowControl w:val="false"/>
              <w:spacing w:lineRule="auto" w:line="240" w:before="280" w:after="280"/>
              <w:rPr>
                <w:rFonts w:cs="Times New Roman"/>
                <w:color w:val="000000"/>
                <w:sz w:val="24"/>
                <w:szCs w:val="24"/>
              </w:rPr>
            </w:pPr>
            <w:r>
              <w:rPr/>
              <w:br/>
            </w:r>
            <w:r>
              <w:rPr>
                <w:rFonts w:cs="Times New Roman"/>
              </w:rPr>
              <w:t>ИНН 0908004024</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КПП 090801001</w:t>
            </w:r>
            <w:r>
              <w:rPr/>
              <w:br/>
            </w:r>
            <w:r>
              <w:rPr>
                <w:rFonts w:cs="Times New Roman"/>
              </w:rPr>
              <w:t>Р/С 03234643916300007900</w:t>
            </w:r>
          </w:p>
          <w:p>
            <w:pPr>
              <w:pStyle w:val="Normal"/>
              <w:widowControl w:val="false"/>
              <w:spacing w:lineRule="auto" w:line="240" w:before="0" w:after="0"/>
              <w:rPr>
                <w:rFonts w:ascii="Times New Roman" w:hAnsi="Times New Roman" w:cs="Times New Roman"/>
              </w:rPr>
            </w:pPr>
            <w:r>
              <w:rPr>
                <w:rFonts w:cs="Times New Roman"/>
              </w:rPr>
              <w:t>К/С 40102810245370000078</w:t>
            </w:r>
          </w:p>
          <w:p>
            <w:pPr>
              <w:pStyle w:val="Normal"/>
              <w:widowControl w:val="false"/>
              <w:spacing w:lineRule="auto" w:line="240" w:before="0" w:after="0"/>
              <w:rPr>
                <w:rFonts w:ascii="Times New Roman" w:hAnsi="Times New Roman" w:cs="Times New Roman"/>
              </w:rPr>
            </w:pPr>
            <w:r>
              <w:rPr>
                <w:rFonts w:cs="Times New Roman"/>
              </w:rPr>
              <w:t>Л/С 20796039610</w:t>
            </w:r>
          </w:p>
          <w:p>
            <w:pPr>
              <w:pStyle w:val="Normal"/>
              <w:widowControl w:val="false"/>
              <w:spacing w:lineRule="auto" w:line="240" w:before="0" w:after="0"/>
              <w:rPr>
                <w:rFonts w:ascii="Times New Roman" w:hAnsi="Times New Roman" w:cs="Times New Roman"/>
              </w:rPr>
            </w:pPr>
            <w:r>
              <w:rPr>
                <w:rFonts w:cs="Times New Roman"/>
              </w:rPr>
              <w:t>ОТДЕЛЕНИЕ-НБ КАРАЧАЕВО-ЧЕРКЕССКАЯ РЕСПУБЛИКА БАНКА РОССИИ // УФК по Карачаево-Черкесской Республике, г.Черкесск</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 xml:space="preserve">БИК  </w:t>
            </w:r>
            <w:bookmarkStart w:id="2" w:name="_GoBack"/>
            <w:bookmarkEnd w:id="2"/>
            <w:r>
              <w:rPr>
                <w:rFonts w:cs="Times New Roman"/>
                <w:color w:val="000000"/>
                <w:sz w:val="24"/>
                <w:szCs w:val="24"/>
              </w:rPr>
              <w:t>019133001</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Факт внесения денежных средств на счет заказчика подтверждается платежным документом, на основании которого произведено перечисление средств;</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2) предоставление независимой гарантии.</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Независимая гарантия, предоставляемая в качестве обеспечения контракта, должна быть составлена по утвержденной постановлением Правительства от 08.11.2013 № 1005 типовой форме на условиях, определенных гражданским законодательством и статьей 45 ‎Закона № 44-ФЗ.</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Независимая гарантия, предоставляемая в качестве обеспечения гарантийных обязательств, должна соответствовать требованиям статьи 45 Закона № 44-ФЗ.</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Способ обеспечения исполнения контракта, гарантийных обязательств, срок действия независимой гарантии определяются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Закона № 44-ФЗ.</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Требования к обеспечению:</w:t>
            </w:r>
          </w:p>
          <w:p>
            <w:pPr>
              <w:pStyle w:val="Normal"/>
              <w:widowControl w:val="false"/>
              <w:spacing w:lineRule="auto" w:line="240" w:before="280" w:after="280"/>
              <w:rPr>
                <w:rFonts w:cs="Times New Roman"/>
                <w:color w:val="000000"/>
                <w:sz w:val="24"/>
                <w:szCs w:val="24"/>
              </w:rPr>
            </w:pPr>
            <w:r>
              <w:rPr>
                <w:rFonts w:cs="Times New Roman"/>
                <w:color w:val="000000"/>
                <w:sz w:val="24"/>
                <w:szCs w:val="24"/>
              </w:rPr>
              <w:t>1. Документы, подтверждающие предоставление обеспечения исполнения контракта (платежное поручение или копия такого платежного поручения либо независимая банковская гарантия) в размере, который предусмотрен настоящим извещением, должны быть представлены заказчику одновременно с контрактом, подписанным участником закупки, с которым заключается контракт.</w:t>
            </w:r>
          </w:p>
          <w:p>
            <w:pPr>
              <w:pStyle w:val="Normal"/>
              <w:widowControl w:val="false"/>
              <w:spacing w:lineRule="auto" w:line="240" w:before="280" w:after="0"/>
              <w:rPr>
                <w:rFonts w:cs="Times New Roman"/>
                <w:color w:val="000000"/>
                <w:sz w:val="24"/>
                <w:szCs w:val="24"/>
              </w:rPr>
            </w:pPr>
            <w:r>
              <w:rPr>
                <w:rFonts w:cs="Times New Roman"/>
                <w:color w:val="000000"/>
                <w:sz w:val="24"/>
                <w:szCs w:val="24"/>
              </w:rPr>
              <w:t>2.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 44-ФЗ, освобождается от предоставления обеспечения исполнения контракта, в том числе с учетом положений статьи 37 Закона № 44-ФЗ,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предоставляется участником закупки до заключения контракта в случаях, установленных Законом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29.</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 банковском сопровождении контракта в соответствии со статьей 35 Федерального закона</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Не установлено</w:t>
            </w:r>
          </w:p>
        </w:tc>
      </w:tr>
      <w:tr>
        <w:trPr/>
        <w:tc>
          <w:tcPr>
            <w:tcW w:w="1015" w:type="dxa"/>
            <w:tcBorders/>
          </w:tcPr>
          <w:p>
            <w:pPr>
              <w:pStyle w:val="Normal"/>
              <w:widowControl w:val="false"/>
              <w:spacing w:before="0" w:after="0"/>
              <w:rPr/>
            </w:pPr>
            <w:r>
              <w:rPr>
                <w:rFonts w:cs="Times New Roman"/>
                <w:color w:val="000000"/>
                <w:sz w:val="24"/>
                <w:szCs w:val="24"/>
              </w:rPr>
              <w:t>29.1</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 казначейском сопровождении (если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w:t>
            </w:r>
          </w:p>
        </w:tc>
        <w:tc>
          <w:tcPr>
            <w:tcW w:w="4746" w:type="dxa"/>
            <w:tcBorders/>
          </w:tcPr>
          <w:p>
            <w:pPr>
              <w:pStyle w:val="Normal"/>
              <w:widowControl w:val="false"/>
              <w:spacing w:before="0" w:after="0"/>
              <w:rPr/>
            </w:pPr>
            <w:r>
              <w:rPr>
                <w:rFonts w:cs="Times New Roman"/>
                <w:color w:val="000000"/>
                <w:sz w:val="24"/>
                <w:szCs w:val="24"/>
              </w:rPr>
              <w:t>Не установлено</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30.</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 возможности заказчика заключить контракты, указанные в части 10 статьи 34 Федерального закона, с несколькими участниками закупки с указанием количества указанных контрактов</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31.</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Информация о возможности одностороннего отказа от исполнения контракта в соответствии со статьей 95 Федерального закона</w:t>
            </w:r>
          </w:p>
        </w:tc>
        <w:tc>
          <w:tcPr>
            <w:tcW w:w="4746" w:type="dxa"/>
            <w:tcBorders/>
          </w:tcPr>
          <w:p>
            <w:pPr>
              <w:pStyle w:val="Normal"/>
              <w:widowControl w:val="false"/>
              <w:spacing w:lineRule="auto" w:line="240" w:before="0" w:after="280"/>
              <w:rPr>
                <w:rFonts w:cs="Times New Roman"/>
                <w:color w:val="000000"/>
                <w:sz w:val="24"/>
                <w:szCs w:val="24"/>
              </w:rPr>
            </w:pPr>
            <w:r>
              <w:rPr>
                <w:rFonts w:cs="Times New Roman"/>
                <w:color w:val="000000"/>
                <w:sz w:val="24"/>
                <w:szCs w:val="24"/>
              </w:rPr>
              <w:t>Заказчик вправе принять решение об одностороннем отказе от исполнения контракта по основаниям, предусмотренным Гражданским кодексом для одностороннего отказа от исполнения отдельных видов обязательств, при условии, если это было предусмотрено контрактом.</w:t>
            </w:r>
          </w:p>
          <w:p>
            <w:pPr>
              <w:pStyle w:val="Normal"/>
              <w:widowControl w:val="false"/>
              <w:spacing w:lineRule="auto" w:line="240" w:before="280" w:after="0"/>
              <w:rPr>
                <w:rFonts w:cs="Times New Roman"/>
                <w:color w:val="000000"/>
                <w:sz w:val="24"/>
                <w:szCs w:val="24"/>
              </w:rPr>
            </w:pPr>
            <w:r>
              <w:rPr>
                <w:rFonts w:cs="Times New Roman"/>
                <w:color w:val="000000"/>
                <w:sz w:val="24"/>
                <w:szCs w:val="24"/>
              </w:rPr>
              <w:t>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32.</w:t>
            </w:r>
          </w:p>
        </w:tc>
        <w:tc>
          <w:tcPr>
            <w:tcW w:w="3989"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Дата и время окончания срока подачи заявок на участие в закупке</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Участник электронного аукциона вправе подать заявку на участие в электронном аукционе в любое время с момента размещения извещения о его проведении до 09 ч 00 мин (по местному времени) 0</w:t>
            </w:r>
            <w:r>
              <w:rPr>
                <w:rFonts w:cs="Times New Roman"/>
                <w:color w:val="000000"/>
                <w:sz w:val="24"/>
                <w:szCs w:val="24"/>
              </w:rPr>
              <w:t>5</w:t>
            </w:r>
            <w:r>
              <w:rPr>
                <w:rFonts w:cs="Times New Roman"/>
                <w:color w:val="000000"/>
                <w:sz w:val="24"/>
                <w:szCs w:val="24"/>
              </w:rPr>
              <w:t>.0</w:t>
            </w:r>
            <w:r>
              <w:rPr>
                <w:rFonts w:cs="Times New Roman"/>
                <w:color w:val="000000"/>
                <w:sz w:val="24"/>
                <w:szCs w:val="24"/>
              </w:rPr>
              <w:t>9</w:t>
            </w:r>
            <w:r>
              <w:rPr>
                <w:rFonts w:cs="Times New Roman"/>
                <w:color w:val="000000"/>
                <w:sz w:val="24"/>
                <w:szCs w:val="24"/>
              </w:rPr>
              <w:t>.2023</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3</w:t>
            </w:r>
            <w:r>
              <w:rPr>
                <w:rFonts w:cs="Times New Roman"/>
                <w:color w:val="000000"/>
                <w:sz w:val="24"/>
                <w:szCs w:val="24"/>
                <w:lang w:val="en-US"/>
              </w:rPr>
              <w:t>3</w:t>
            </w:r>
            <w:r>
              <w:rPr>
                <w:rFonts w:cs="Times New Roman"/>
                <w:color w:val="000000"/>
                <w:sz w:val="24"/>
                <w:szCs w:val="24"/>
              </w:rPr>
              <w:t>.</w:t>
            </w:r>
          </w:p>
        </w:tc>
        <w:tc>
          <w:tcPr>
            <w:tcW w:w="3989" w:type="dxa"/>
            <w:tcBorders/>
          </w:tcPr>
          <w:p>
            <w:pPr>
              <w:pStyle w:val="Normal"/>
              <w:widowControl w:val="false"/>
              <w:spacing w:before="280" w:after="280"/>
              <w:rPr>
                <w:sz w:val="24"/>
                <w:szCs w:val="24"/>
                <w:lang w:eastAsia="en-US"/>
              </w:rPr>
            </w:pPr>
            <w:r>
              <w:rPr>
                <w:rFonts w:cs="Times New Roman"/>
                <w:color w:val="000000"/>
                <w:sz w:val="24"/>
                <w:szCs w:val="24"/>
                <w:lang w:eastAsia="en-US"/>
              </w:rPr>
              <w:t>Дата проведения процедуры подачи предложений о цене контракта</w:t>
            </w:r>
          </w:p>
        </w:tc>
        <w:tc>
          <w:tcPr>
            <w:tcW w:w="4746" w:type="dxa"/>
            <w:tcBorders/>
          </w:tcPr>
          <w:p>
            <w:pPr>
              <w:pStyle w:val="Normal"/>
              <w:widowControl w:val="false"/>
              <w:spacing w:before="0" w:after="0"/>
              <w:rPr/>
            </w:pPr>
            <w:r>
              <w:rPr>
                <w:rFonts w:cs="Times New Roman"/>
                <w:color w:val="000000"/>
                <w:sz w:val="24"/>
                <w:szCs w:val="24"/>
              </w:rPr>
              <w:t>0</w:t>
            </w:r>
            <w:r>
              <w:rPr>
                <w:rFonts w:cs="Times New Roman"/>
                <w:color w:val="000000"/>
                <w:sz w:val="24"/>
                <w:szCs w:val="24"/>
              </w:rPr>
              <w:t>5</w:t>
            </w:r>
            <w:r>
              <w:rPr>
                <w:rFonts w:cs="Times New Roman"/>
                <w:color w:val="000000"/>
                <w:sz w:val="24"/>
                <w:szCs w:val="24"/>
              </w:rPr>
              <w:t>.0</w:t>
            </w:r>
            <w:r>
              <w:rPr>
                <w:rFonts w:cs="Times New Roman"/>
                <w:color w:val="000000"/>
                <w:sz w:val="24"/>
                <w:szCs w:val="24"/>
              </w:rPr>
              <w:t>9</w:t>
            </w:r>
            <w:r>
              <w:rPr>
                <w:rFonts w:cs="Times New Roman"/>
                <w:color w:val="000000"/>
                <w:sz w:val="24"/>
                <w:szCs w:val="24"/>
              </w:rPr>
              <w:t>.2023</w:t>
            </w:r>
          </w:p>
        </w:tc>
      </w:tr>
      <w:tr>
        <w:trPr/>
        <w:tc>
          <w:tcPr>
            <w:tcW w:w="1015" w:type="dxa"/>
            <w:tcBorders/>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3</w:t>
            </w:r>
            <w:r>
              <w:rPr>
                <w:rFonts w:cs="Times New Roman"/>
                <w:color w:val="000000"/>
                <w:sz w:val="24"/>
                <w:szCs w:val="24"/>
                <w:lang w:val="en-US"/>
              </w:rPr>
              <w:t>4</w:t>
            </w:r>
            <w:r>
              <w:rPr>
                <w:rFonts w:cs="Times New Roman"/>
                <w:color w:val="000000"/>
                <w:sz w:val="24"/>
                <w:szCs w:val="24"/>
              </w:rPr>
              <w:t>.</w:t>
            </w:r>
          </w:p>
        </w:tc>
        <w:tc>
          <w:tcPr>
            <w:tcW w:w="3989" w:type="dxa"/>
            <w:tcBorders/>
          </w:tcPr>
          <w:p>
            <w:pPr>
              <w:pStyle w:val="Normal"/>
              <w:widowControl w:val="false"/>
              <w:spacing w:before="280" w:after="280"/>
              <w:rPr>
                <w:color w:val="000000"/>
              </w:rPr>
            </w:pPr>
            <w:r>
              <w:rPr>
                <w:rFonts w:cs="Times New Roman"/>
                <w:color w:val="000000"/>
                <w:sz w:val="24"/>
                <w:szCs w:val="24"/>
                <w:lang w:eastAsia="en-US"/>
              </w:rPr>
              <w:t>Дата подведения итогов определения поставщика (подрядчика, исполнителя)</w:t>
            </w:r>
          </w:p>
        </w:tc>
        <w:tc>
          <w:tcPr>
            <w:tcW w:w="4746" w:type="dxa"/>
            <w:tcBorders/>
          </w:tcPr>
          <w:p>
            <w:pPr>
              <w:pStyle w:val="Normal"/>
              <w:widowControl w:val="false"/>
              <w:spacing w:lineRule="auto" w:line="240" w:before="0" w:after="0"/>
              <w:rPr>
                <w:rFonts w:cs="Times New Roman"/>
                <w:color w:val="000000"/>
                <w:sz w:val="24"/>
                <w:szCs w:val="24"/>
              </w:rPr>
            </w:pPr>
            <w:r>
              <w:rPr>
                <w:rFonts w:cs="Times New Roman"/>
                <w:color w:val="000000"/>
                <w:sz w:val="24"/>
                <w:szCs w:val="24"/>
              </w:rPr>
              <w:t>0</w:t>
            </w:r>
            <w:r>
              <w:rPr>
                <w:rFonts w:cs="Times New Roman"/>
                <w:color w:val="000000"/>
                <w:sz w:val="24"/>
                <w:szCs w:val="24"/>
              </w:rPr>
              <w:t>6</w:t>
            </w:r>
            <w:r>
              <w:rPr>
                <w:rFonts w:cs="Times New Roman"/>
                <w:color w:val="000000"/>
                <w:sz w:val="24"/>
                <w:szCs w:val="24"/>
              </w:rPr>
              <w:t>.0</w:t>
            </w:r>
            <w:r>
              <w:rPr>
                <w:rFonts w:cs="Times New Roman"/>
                <w:color w:val="000000"/>
                <w:sz w:val="24"/>
                <w:szCs w:val="24"/>
              </w:rPr>
              <w:t>9</w:t>
            </w:r>
            <w:r>
              <w:rPr>
                <w:rFonts w:cs="Times New Roman"/>
                <w:color w:val="000000"/>
                <w:sz w:val="24"/>
                <w:szCs w:val="24"/>
              </w:rPr>
              <w:t>.2023</w:t>
            </w:r>
          </w:p>
        </w:tc>
      </w:tr>
    </w:tbl>
    <w:p>
      <w:pPr>
        <w:pStyle w:val="Normal"/>
        <w:spacing w:lineRule="auto" w:line="240" w:before="280" w:after="280"/>
        <w:jc w:val="center"/>
        <w:rPr>
          <w:rFonts w:cs="Times New Roman"/>
          <w:color w:val="000000"/>
          <w:sz w:val="24"/>
          <w:szCs w:val="24"/>
        </w:rPr>
      </w:pPr>
      <w:r>
        <w:rPr>
          <w:rFonts w:cs="Times New Roman"/>
          <w:b/>
          <w:bCs/>
          <w:color w:val="000000"/>
          <w:sz w:val="24"/>
          <w:szCs w:val="24"/>
        </w:rPr>
        <w:t>2. Документы, прилагаемые к извещению об осуществлении закупки в форме электронных документов или образов бумажных документов, сформированных без использования единой информационной системы</w:t>
      </w:r>
    </w:p>
    <w:tbl>
      <w:tblPr>
        <w:tblW w:w="7845" w:type="dxa"/>
        <w:jc w:val="left"/>
        <w:tblInd w:w="60" w:type="dxa"/>
        <w:tblLayout w:type="fixed"/>
        <w:tblCellMar>
          <w:top w:w="75" w:type="dxa"/>
          <w:left w:w="75" w:type="dxa"/>
          <w:bottom w:w="75" w:type="dxa"/>
          <w:right w:w="75" w:type="dxa"/>
        </w:tblCellMar>
        <w:tblLook w:val="0600"/>
      </w:tblPr>
      <w:tblGrid>
        <w:gridCol w:w="1440"/>
        <w:gridCol w:w="6404"/>
      </w:tblGrid>
      <w:tr>
        <w:trPr/>
        <w:tc>
          <w:tcPr>
            <w:tcW w:w="1440" w:type="dxa"/>
            <w:tcBorders/>
            <w:vAlign w:val="center"/>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1.</w:t>
            </w:r>
          </w:p>
        </w:tc>
        <w:tc>
          <w:tcPr>
            <w:tcW w:w="6404" w:type="dxa"/>
            <w:tcBorders/>
            <w:vAlign w:val="center"/>
          </w:tcPr>
          <w:p>
            <w:pPr>
              <w:pStyle w:val="Normal"/>
              <w:widowControl w:val="false"/>
              <w:spacing w:lineRule="auto" w:line="240" w:before="0" w:after="0"/>
              <w:rPr>
                <w:rFonts w:cs="Times New Roman"/>
                <w:color w:val="000000"/>
                <w:sz w:val="24"/>
                <w:szCs w:val="24"/>
              </w:rPr>
            </w:pPr>
            <w:r>
              <w:rPr>
                <w:rFonts w:cs="Times New Roman"/>
                <w:color w:val="000000"/>
                <w:sz w:val="24"/>
                <w:szCs w:val="24"/>
              </w:rPr>
              <w:t>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tc>
      </w:tr>
      <w:tr>
        <w:trPr/>
        <w:tc>
          <w:tcPr>
            <w:tcW w:w="1440" w:type="dxa"/>
            <w:tcBorders/>
            <w:vAlign w:val="center"/>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2.</w:t>
            </w:r>
          </w:p>
        </w:tc>
        <w:tc>
          <w:tcPr>
            <w:tcW w:w="6404" w:type="dxa"/>
            <w:tcBorders/>
            <w:vAlign w:val="center"/>
          </w:tcPr>
          <w:p>
            <w:pPr>
              <w:pStyle w:val="Normal"/>
              <w:widowControl w:val="false"/>
              <w:spacing w:lineRule="auto" w:line="240" w:before="0" w:after="0"/>
              <w:rPr>
                <w:rFonts w:cs="Times New Roman"/>
                <w:color w:val="000000"/>
                <w:sz w:val="24"/>
                <w:szCs w:val="24"/>
              </w:rPr>
            </w:pPr>
            <w:r>
              <w:rPr/>
              <w:t>Проект контракта</w:t>
            </w:r>
          </w:p>
        </w:tc>
      </w:tr>
      <w:tr>
        <w:trPr/>
        <w:tc>
          <w:tcPr>
            <w:tcW w:w="1440" w:type="dxa"/>
            <w:tcBorders/>
            <w:vAlign w:val="center"/>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3.</w:t>
            </w:r>
          </w:p>
        </w:tc>
        <w:tc>
          <w:tcPr>
            <w:tcW w:w="6404" w:type="dxa"/>
            <w:tcBorders/>
            <w:vAlign w:val="center"/>
          </w:tcPr>
          <w:p>
            <w:pPr>
              <w:pStyle w:val="Normal"/>
              <w:widowControl w:val="false"/>
              <w:spacing w:lineRule="auto" w:line="240" w:before="0" w:after="0"/>
              <w:rPr>
                <w:rFonts w:cs="Times New Roman"/>
                <w:color w:val="000000"/>
                <w:sz w:val="24"/>
                <w:szCs w:val="24"/>
              </w:rPr>
            </w:pPr>
            <w:r>
              <w:rPr>
                <w:rFonts w:cs="Times New Roman"/>
                <w:color w:val="000000"/>
                <w:sz w:val="24"/>
                <w:szCs w:val="24"/>
              </w:rPr>
              <w:t>Описание объекта закупки в соответствии со статьей 33 Федерального закона</w:t>
            </w:r>
          </w:p>
        </w:tc>
      </w:tr>
      <w:tr>
        <w:trPr/>
        <w:tc>
          <w:tcPr>
            <w:tcW w:w="1440" w:type="dxa"/>
            <w:tcBorders/>
            <w:vAlign w:val="center"/>
          </w:tcPr>
          <w:p>
            <w:pPr>
              <w:pStyle w:val="Normal"/>
              <w:widowControl w:val="false"/>
              <w:spacing w:lineRule="auto" w:line="240" w:before="0" w:after="0"/>
              <w:jc w:val="center"/>
              <w:rPr>
                <w:rFonts w:cs="Times New Roman"/>
                <w:color w:val="000000"/>
                <w:sz w:val="24"/>
                <w:szCs w:val="24"/>
              </w:rPr>
            </w:pPr>
            <w:r>
              <w:rPr>
                <w:rFonts w:cs="Times New Roman"/>
                <w:color w:val="000000"/>
                <w:sz w:val="24"/>
                <w:szCs w:val="24"/>
              </w:rPr>
              <w:t>4.</w:t>
            </w:r>
          </w:p>
        </w:tc>
        <w:tc>
          <w:tcPr>
            <w:tcW w:w="6404" w:type="dxa"/>
            <w:tcBorders/>
            <w:vAlign w:val="center"/>
          </w:tcPr>
          <w:p>
            <w:pPr>
              <w:pStyle w:val="Normal"/>
              <w:widowControl w:val="false"/>
              <w:spacing w:lineRule="auto" w:line="240" w:before="0" w:after="0"/>
              <w:rPr>
                <w:rFonts w:cs="Times New Roman"/>
                <w:color w:val="000000"/>
                <w:sz w:val="24"/>
                <w:szCs w:val="24"/>
              </w:rPr>
            </w:pPr>
            <w:r>
              <w:rPr>
                <w:rFonts w:cs="Times New Roman"/>
                <w:color w:val="000000"/>
                <w:sz w:val="24"/>
                <w:szCs w:val="24"/>
              </w:rPr>
              <w:t>Требования к содержанию, составу заявки на участие в закупке в соответствии с Федеральным законом и инструкция по ее заполнению</w:t>
            </w:r>
          </w:p>
        </w:tc>
      </w:tr>
    </w:tbl>
    <w:p>
      <w:pPr>
        <w:pStyle w:val="Normal"/>
        <w:spacing w:lineRule="auto" w:line="240" w:before="280" w:after="280"/>
        <w:rPr>
          <w:rFonts w:cs="Times New Roman"/>
          <w:color w:val="000000"/>
          <w:sz w:val="24"/>
          <w:szCs w:val="24"/>
        </w:rPr>
      </w:pPr>
      <w:r>
        <w:rPr/>
      </w:r>
    </w:p>
    <w:sectPr>
      <w:type w:val="nextPage"/>
      <w:pgSz w:w="11906" w:h="16838"/>
      <w:pgMar w:left="1440" w:right="1440" w:gutter="0" w:header="0" w:top="1440" w:footer="0" w:bottom="144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850" w:hanging="360"/>
      </w:pPr>
      <w:rPr/>
    </w:lvl>
    <w:lvl w:ilvl="1">
      <w:start w:val="1"/>
      <w:numFmt w:val="lowerLetter"/>
      <w:lvlText w:val="%2."/>
      <w:lvlJc w:val="left"/>
      <w:pPr>
        <w:tabs>
          <w:tab w:val="num" w:pos="0"/>
        </w:tabs>
        <w:ind w:left="1570" w:hanging="360"/>
      </w:pPr>
      <w:rPr/>
    </w:lvl>
    <w:lvl w:ilvl="2">
      <w:start w:val="1"/>
      <w:numFmt w:val="lowerRoman"/>
      <w:lvlText w:val="%3."/>
      <w:lvlJc w:val="right"/>
      <w:pPr>
        <w:tabs>
          <w:tab w:val="num" w:pos="0"/>
        </w:tabs>
        <w:ind w:left="2290" w:hanging="180"/>
      </w:pPr>
      <w:rPr/>
    </w:lvl>
    <w:lvl w:ilvl="3">
      <w:start w:val="1"/>
      <w:numFmt w:val="decimal"/>
      <w:lvlText w:val="%4."/>
      <w:lvlJc w:val="left"/>
      <w:pPr>
        <w:tabs>
          <w:tab w:val="num" w:pos="0"/>
        </w:tabs>
        <w:ind w:left="3010" w:hanging="360"/>
      </w:pPr>
      <w:rPr/>
    </w:lvl>
    <w:lvl w:ilvl="4">
      <w:start w:val="1"/>
      <w:numFmt w:val="lowerLetter"/>
      <w:lvlText w:val="%5."/>
      <w:lvlJc w:val="left"/>
      <w:pPr>
        <w:tabs>
          <w:tab w:val="num" w:pos="0"/>
        </w:tabs>
        <w:ind w:left="3730" w:hanging="360"/>
      </w:pPr>
      <w:rPr/>
    </w:lvl>
    <w:lvl w:ilvl="5">
      <w:start w:val="1"/>
      <w:numFmt w:val="lowerRoman"/>
      <w:lvlText w:val="%6."/>
      <w:lvlJc w:val="right"/>
      <w:pPr>
        <w:tabs>
          <w:tab w:val="num" w:pos="0"/>
        </w:tabs>
        <w:ind w:left="4450" w:hanging="180"/>
      </w:pPr>
      <w:rPr/>
    </w:lvl>
    <w:lvl w:ilvl="6">
      <w:start w:val="1"/>
      <w:numFmt w:val="decimal"/>
      <w:lvlText w:val="%7."/>
      <w:lvlJc w:val="left"/>
      <w:pPr>
        <w:tabs>
          <w:tab w:val="num" w:pos="0"/>
        </w:tabs>
        <w:ind w:left="5170" w:hanging="360"/>
      </w:pPr>
      <w:rPr/>
    </w:lvl>
    <w:lvl w:ilvl="7">
      <w:start w:val="1"/>
      <w:numFmt w:val="lowerLetter"/>
      <w:lvlText w:val="%8."/>
      <w:lvlJc w:val="left"/>
      <w:pPr>
        <w:tabs>
          <w:tab w:val="num" w:pos="0"/>
        </w:tabs>
        <w:ind w:left="5890" w:hanging="360"/>
      </w:pPr>
      <w:rPr/>
    </w:lvl>
    <w:lvl w:ilvl="8">
      <w:start w:val="1"/>
      <w:numFmt w:val="lowerRoman"/>
      <w:lvlText w:val="%9."/>
      <w:lvlJc w:val="right"/>
      <w:pPr>
        <w:tabs>
          <w:tab w:val="num" w:pos="0"/>
        </w:tabs>
        <w:ind w:left="661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f7e17"/>
    <w:pPr>
      <w:widowControl/>
      <w:suppressAutoHyphens w:val="true"/>
      <w:bidi w:val="0"/>
      <w:spacing w:lineRule="auto" w:line="240" w:beforeAutospacing="1" w:afterAutospacing="1"/>
      <w:jc w:val="left"/>
    </w:pPr>
    <w:rPr>
      <w:rFonts w:ascii="Times New Roman" w:hAnsi="Times New Roman" w:eastAsia="Times New Roman"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Heading1Char"/>
    <w:uiPriority w:val="9"/>
    <w:qFormat/>
    <w:rsid w:val="00b73a5a"/>
    <w:pPr>
      <w:keepNext w:val="true"/>
      <w:keepLines/>
      <w:outlineLvl w:val="0"/>
    </w:pPr>
    <w:rPr>
      <w:rFonts w:ascii="Cambria" w:hAnsi="Cambria" w:eastAsia="" w:cs="" w:asciiTheme="majorHAnsi" w:cstheme="majorBidi" w:eastAsiaTheme="majorEastAsia" w:hAnsiTheme="majorHAnsi"/>
      <w:b/>
      <w:bCs/>
      <w:color w:val="365F91" w:themeColor="accent1" w:themeShade="bf"/>
      <w:sz w:val="28"/>
      <w:szCs w:val="2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uiPriority w:val="9"/>
    <w:qFormat/>
    <w:rsid w:val="00b73a5a"/>
    <w:rPr>
      <w:rFonts w:ascii="Cambria" w:hAnsi="Cambria" w:eastAsia="" w:cs="" w:asciiTheme="majorHAnsi" w:cstheme="majorBidi" w:eastAsiaTheme="majorEastAsia" w:hAnsiTheme="majorHAnsi"/>
      <w:b/>
      <w:bCs/>
      <w:color w:val="365F91" w:themeColor="accent1" w:themeShade="bf"/>
      <w:sz w:val="28"/>
      <w:szCs w:val="28"/>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Style18">
    <w:name w:val="Body Text Indent"/>
    <w:basedOn w:val="Normal"/>
    <w:pPr>
      <w:spacing w:before="0" w:after="120"/>
      <w:ind w:left="283" w:hanging="0"/>
    </w:pPr>
    <w:rPr>
      <w:rFonts w:ascii="Times New Roman" w:hAnsi="Times New Roman" w:eastAsia="Times New Roman" w:cs="" w:asciiTheme="minorHAnsi" w:cstheme="minorBidi" w:eastAsiaTheme="minorHAnsi" w:hAnsiTheme="minorHAnsi"/>
      <w:lang w:eastAsia="en-U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315</TotalTime>
  <Application>LibreOffice/7.5.5.2$Windows_X86_64 LibreOffice_project/ca8fe7424262805f223b9a2334bc7181abbcbf5e</Application>
  <AppVersion>15.0000</AppVersion>
  <Pages>18</Pages>
  <Words>3517</Words>
  <Characters>25657</Characters>
  <CharactersWithSpaces>28990</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2011-11-02T04:15:00Z</dcterms:created>
  <dc:creator/>
  <dc:description>Подготовлено экспертами Актион-МЦФЭР</dc:description>
  <dc:language>ru-RU</dc:language>
  <cp:lastModifiedBy/>
  <dcterms:modified xsi:type="dcterms:W3CDTF">2023-08-28T16:23:12Z</dcterms:modified>
  <cp:revision>27</cp:revision>
  <dc:subject/>
  <dc:title/>
</cp:coreProperties>
</file>

<file path=docProps/custom.xml><?xml version="1.0" encoding="utf-8"?>
<Properties xmlns="http://schemas.openxmlformats.org/officeDocument/2006/custom-properties" xmlns:vt="http://schemas.openxmlformats.org/officeDocument/2006/docPropsVTypes"/>
</file>